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407AC" w14:textId="45537554" w:rsidR="00574A7A" w:rsidRPr="00294B02" w:rsidRDefault="00DD229F" w:rsidP="00574A7A">
      <w:pPr>
        <w:pStyle w:val="paragraph"/>
        <w:spacing w:before="0" w:beforeAutospacing="0" w:after="0" w:afterAutospacing="0"/>
        <w:textAlignment w:val="baseline"/>
        <w:rPr>
          <w:rFonts w:ascii="Arial" w:hAnsi="Arial" w:cs="Arial"/>
          <w:lang w:val="en-GB"/>
        </w:rPr>
      </w:pPr>
      <w:r w:rsidRPr="00DD229F">
        <w:rPr>
          <w:rStyle w:val="normaltextrun"/>
          <w:rFonts w:ascii="Arial" w:hAnsi="Arial" w:cs="Arial"/>
          <w:b/>
          <w:bCs/>
          <w:lang w:val="en-US"/>
        </w:rPr>
        <w:t>To renewable energy communities and beyond: rethinking energy systems through a mutual aid approach  </w:t>
      </w:r>
      <w:r w:rsidR="00574A7A" w:rsidRPr="00294B02">
        <w:rPr>
          <w:rStyle w:val="eop"/>
          <w:rFonts w:ascii="Arial" w:hAnsi="Arial" w:cs="Arial"/>
          <w:lang w:val="en-GB"/>
        </w:rPr>
        <w:br/>
      </w:r>
    </w:p>
    <w:p w14:paraId="1869B70D" w14:textId="7E169FF9" w:rsidR="001877E3" w:rsidRPr="00294B02" w:rsidRDefault="00574A7A" w:rsidP="00574A7A">
      <w:pPr>
        <w:pStyle w:val="paragraph"/>
        <w:spacing w:before="0" w:beforeAutospacing="0" w:after="0" w:afterAutospacing="0"/>
        <w:textAlignment w:val="baseline"/>
        <w:rPr>
          <w:rFonts w:ascii="Arial" w:hAnsi="Arial" w:cs="Arial"/>
          <w:sz w:val="20"/>
          <w:szCs w:val="20"/>
          <w:lang w:val="en-GB"/>
        </w:rPr>
      </w:pPr>
      <w:r w:rsidRPr="00294B02">
        <w:rPr>
          <w:rFonts w:ascii="Arial" w:hAnsi="Arial" w:cs="Arial"/>
          <w:sz w:val="20"/>
          <w:szCs w:val="20"/>
          <w:lang w:val="en-GB"/>
        </w:rPr>
        <w:t>Beatrice Ruggieri</w:t>
      </w:r>
      <w:r w:rsidR="001877E3" w:rsidRPr="00294B02">
        <w:rPr>
          <w:rStyle w:val="FootnoteReference"/>
          <w:rFonts w:ascii="Arial" w:hAnsi="Arial" w:cs="Arial"/>
          <w:sz w:val="20"/>
          <w:szCs w:val="20"/>
        </w:rPr>
        <w:footnoteReference w:id="2"/>
      </w:r>
      <w:r w:rsidR="001877E3" w:rsidRPr="00294B02">
        <w:rPr>
          <w:rFonts w:ascii="Arial" w:hAnsi="Arial" w:cs="Arial"/>
          <w:sz w:val="20"/>
          <w:szCs w:val="20"/>
          <w:lang w:val="en-GB"/>
        </w:rPr>
        <w:t xml:space="preserve">, </w:t>
      </w:r>
      <w:r w:rsidRPr="00294B02">
        <w:rPr>
          <w:rFonts w:ascii="Arial" w:hAnsi="Arial" w:cs="Arial"/>
          <w:sz w:val="20"/>
          <w:szCs w:val="20"/>
          <w:lang w:val="en-GB"/>
        </w:rPr>
        <w:t xml:space="preserve">Giada </w:t>
      </w:r>
      <w:proofErr w:type="spellStart"/>
      <w:r w:rsidRPr="00294B02">
        <w:rPr>
          <w:rFonts w:ascii="Arial" w:hAnsi="Arial" w:cs="Arial"/>
          <w:sz w:val="20"/>
          <w:szCs w:val="20"/>
          <w:lang w:val="en-GB"/>
        </w:rPr>
        <w:t>Coleandro</w:t>
      </w:r>
      <w:proofErr w:type="spellEnd"/>
      <w:r w:rsidR="001877E3" w:rsidRPr="00294B02">
        <w:rPr>
          <w:rStyle w:val="FootnoteReference"/>
          <w:rFonts w:ascii="Arial" w:hAnsi="Arial" w:cs="Arial"/>
          <w:sz w:val="20"/>
          <w:szCs w:val="20"/>
        </w:rPr>
        <w:footnoteReference w:id="3"/>
      </w:r>
      <w:r w:rsidR="001877E3" w:rsidRPr="00294B02">
        <w:rPr>
          <w:rFonts w:ascii="Arial" w:hAnsi="Arial" w:cs="Arial"/>
          <w:sz w:val="20"/>
          <w:szCs w:val="20"/>
          <w:lang w:val="en-GB"/>
        </w:rPr>
        <w:t xml:space="preserve"> </w:t>
      </w:r>
    </w:p>
    <w:p w14:paraId="34CED6E3" w14:textId="77777777" w:rsidR="00574A7A" w:rsidRPr="00294B02" w:rsidRDefault="00574A7A" w:rsidP="00574A7A">
      <w:pPr>
        <w:pStyle w:val="paragraph"/>
        <w:spacing w:before="0" w:beforeAutospacing="0" w:after="0" w:afterAutospacing="0"/>
        <w:textAlignment w:val="baseline"/>
        <w:rPr>
          <w:rFonts w:ascii="Arial" w:hAnsi="Arial" w:cs="Arial"/>
          <w:sz w:val="18"/>
          <w:szCs w:val="18"/>
          <w:lang w:val="en-GB"/>
        </w:rPr>
      </w:pPr>
    </w:p>
    <w:p w14:paraId="02095FB8" w14:textId="7F2EB416" w:rsidR="003F7A16" w:rsidRPr="00294B02" w:rsidRDefault="003F7A16" w:rsidP="00D26175">
      <w:pPr>
        <w:pStyle w:val="KeywordsSSPCR"/>
        <w:rPr>
          <w:rFonts w:cs="Arial"/>
        </w:rPr>
      </w:pPr>
      <w:r w:rsidRPr="00294B02">
        <w:rPr>
          <w:rFonts w:cs="Arial"/>
        </w:rPr>
        <w:t xml:space="preserve">Keywords: </w:t>
      </w:r>
      <w:r w:rsidR="00574A7A" w:rsidRPr="00294B02">
        <w:rPr>
          <w:rFonts w:cs="Arial"/>
        </w:rPr>
        <w:t>renewable energy communities; mutual aid; solidarity; socioecological relations; alternative energy systems</w:t>
      </w:r>
    </w:p>
    <w:p w14:paraId="579680FA" w14:textId="77777777" w:rsidR="00E15BAE" w:rsidRPr="00E15BAE" w:rsidRDefault="00E15BAE" w:rsidP="00E15BAE">
      <w:pPr>
        <w:pStyle w:val="paragraph"/>
        <w:spacing w:before="0" w:beforeAutospacing="0" w:after="0" w:afterAutospacing="0"/>
        <w:jc w:val="both"/>
        <w:textAlignment w:val="baseline"/>
        <w:rPr>
          <w:rFonts w:ascii="Arial" w:hAnsi="Arial" w:cs="Arial"/>
          <w:sz w:val="20"/>
          <w:szCs w:val="20"/>
          <w:lang w:val="en-US"/>
        </w:rPr>
      </w:pPr>
      <w:r w:rsidRPr="00E15BAE">
        <w:rPr>
          <w:rStyle w:val="normaltextrun"/>
          <w:rFonts w:ascii="Arial" w:hAnsi="Arial" w:cs="Arial"/>
          <w:sz w:val="20"/>
          <w:szCs w:val="20"/>
          <w:lang w:val="en-US"/>
        </w:rPr>
        <w:t xml:space="preserve">The spread of renewable energy communities (RECs) has been actively promoted as an opportunity to foster both decarbonization processes and the social acceptance of renewable technologies. In this regard RECs are considered as a powerful innovation able to actively engage consumers in the energy transition paving the way towards the democratization of energy. However, as pointed out by the social research on energy, renewable technologies are not inherently democratic (Winner 1986) and what could concretely differentiate them from the political economy of fossil fuels is the organization of social and economic institutions. Informed by the literature on social movements, a possible way to understand the transformative power spread by RECs projects would be to direct our gaze towards the concept of solidarity, that is to observe and analyze RECs through a mutual aid approach. Building on long-standing studies such as those conducted by Kropotkin at the crossroads of biology, sociology and philosophy and on recent examples of how to build solidarity in times of deep, entangled crisis (Spade, 2021), the main aim is to expand the knowledge on RECs </w:t>
      </w:r>
      <w:r w:rsidRPr="00E15BAE">
        <w:rPr>
          <w:rStyle w:val="normaltextrun"/>
          <w:rFonts w:ascii="Arial" w:hAnsi="Arial" w:cs="Arial"/>
          <w:color w:val="000000"/>
          <w:sz w:val="20"/>
          <w:szCs w:val="20"/>
          <w:lang w:val="en-US"/>
        </w:rPr>
        <w:t>starting with the re-definition of the very concept of community</w:t>
      </w:r>
      <w:r w:rsidRPr="00E15BAE">
        <w:rPr>
          <w:rStyle w:val="normaltextrun"/>
          <w:rFonts w:ascii="Arial" w:hAnsi="Arial" w:cs="Arial"/>
          <w:sz w:val="20"/>
          <w:szCs w:val="20"/>
          <w:lang w:val="en-US"/>
        </w:rPr>
        <w:t>. Indeed, to create real renewable energy (Dunlap 2021), energy communities must be imagined as living organisms, marked by a multitude of cooperative and interdependent relationships that bring to light new forms of solidarity capable to go well beyond the provision of basic energy services.  </w:t>
      </w:r>
      <w:r w:rsidRPr="00E15BAE">
        <w:rPr>
          <w:rStyle w:val="eop"/>
          <w:rFonts w:ascii="Arial" w:hAnsi="Arial" w:cs="Arial"/>
          <w:sz w:val="20"/>
          <w:szCs w:val="20"/>
          <w:lang w:val="en-US"/>
        </w:rPr>
        <w:t> </w:t>
      </w:r>
    </w:p>
    <w:p w14:paraId="43DEEA23" w14:textId="77777777" w:rsidR="00E15BAE" w:rsidRPr="00E15BAE" w:rsidRDefault="00E15BAE" w:rsidP="00E15BAE">
      <w:pPr>
        <w:pStyle w:val="paragraph"/>
        <w:spacing w:before="0" w:beforeAutospacing="0" w:after="0" w:afterAutospacing="0"/>
        <w:jc w:val="both"/>
        <w:textAlignment w:val="baseline"/>
        <w:rPr>
          <w:rFonts w:ascii="Arial" w:hAnsi="Arial" w:cs="Arial"/>
          <w:sz w:val="20"/>
          <w:szCs w:val="20"/>
          <w:lang w:val="en-US"/>
        </w:rPr>
      </w:pPr>
      <w:r w:rsidRPr="00E15BAE">
        <w:rPr>
          <w:rStyle w:val="normaltextrun"/>
          <w:rFonts w:ascii="Arial" w:hAnsi="Arial" w:cs="Arial"/>
          <w:sz w:val="20"/>
          <w:szCs w:val="20"/>
          <w:lang w:val="en-US"/>
        </w:rPr>
        <w:t xml:space="preserve">Starting from different cases of mutual aid practices recently emerged in the pandemic context, this contribution seeks to discuss the experience of mutual aid through the case of </w:t>
      </w:r>
      <w:proofErr w:type="spellStart"/>
      <w:r w:rsidRPr="00E15BAE">
        <w:rPr>
          <w:rStyle w:val="normaltextrun"/>
          <w:rFonts w:ascii="Arial" w:hAnsi="Arial" w:cs="Arial"/>
          <w:i/>
          <w:iCs/>
          <w:sz w:val="20"/>
          <w:szCs w:val="20"/>
          <w:lang w:val="en-US"/>
        </w:rPr>
        <w:t>Comunità</w:t>
      </w:r>
      <w:proofErr w:type="spellEnd"/>
      <w:r w:rsidRPr="00E15BAE">
        <w:rPr>
          <w:rStyle w:val="normaltextrun"/>
          <w:rFonts w:ascii="Arial" w:hAnsi="Arial" w:cs="Arial"/>
          <w:i/>
          <w:iCs/>
          <w:sz w:val="20"/>
          <w:szCs w:val="20"/>
          <w:lang w:val="en-US"/>
        </w:rPr>
        <w:t xml:space="preserve"> </w:t>
      </w:r>
      <w:proofErr w:type="spellStart"/>
      <w:r w:rsidRPr="00E15BAE">
        <w:rPr>
          <w:rStyle w:val="normaltextrun"/>
          <w:rFonts w:ascii="Arial" w:hAnsi="Arial" w:cs="Arial"/>
          <w:i/>
          <w:iCs/>
          <w:sz w:val="20"/>
          <w:szCs w:val="20"/>
          <w:lang w:val="en-US"/>
        </w:rPr>
        <w:t>Energetiche</w:t>
      </w:r>
      <w:proofErr w:type="spellEnd"/>
      <w:r w:rsidRPr="00E15BAE">
        <w:rPr>
          <w:rStyle w:val="normaltextrun"/>
          <w:rFonts w:ascii="Arial" w:hAnsi="Arial" w:cs="Arial"/>
          <w:i/>
          <w:iCs/>
          <w:sz w:val="20"/>
          <w:szCs w:val="20"/>
          <w:lang w:val="en-US"/>
        </w:rPr>
        <w:t xml:space="preserve"> </w:t>
      </w:r>
      <w:proofErr w:type="spellStart"/>
      <w:r w:rsidRPr="00E15BAE">
        <w:rPr>
          <w:rStyle w:val="normaltextrun"/>
          <w:rFonts w:ascii="Arial" w:hAnsi="Arial" w:cs="Arial"/>
          <w:i/>
          <w:iCs/>
          <w:sz w:val="20"/>
          <w:szCs w:val="20"/>
          <w:lang w:val="en-US"/>
        </w:rPr>
        <w:t>Rinnovabili</w:t>
      </w:r>
      <w:proofErr w:type="spellEnd"/>
      <w:r w:rsidRPr="00E15BAE">
        <w:rPr>
          <w:rStyle w:val="normaltextrun"/>
          <w:rFonts w:ascii="Arial" w:hAnsi="Arial" w:cs="Arial"/>
          <w:i/>
          <w:iCs/>
          <w:sz w:val="20"/>
          <w:szCs w:val="20"/>
          <w:lang w:val="en-US"/>
        </w:rPr>
        <w:t xml:space="preserve"> e </w:t>
      </w:r>
      <w:proofErr w:type="spellStart"/>
      <w:r w:rsidRPr="00E15BAE">
        <w:rPr>
          <w:rStyle w:val="normaltextrun"/>
          <w:rFonts w:ascii="Arial" w:hAnsi="Arial" w:cs="Arial"/>
          <w:i/>
          <w:iCs/>
          <w:sz w:val="20"/>
          <w:szCs w:val="20"/>
          <w:lang w:val="en-US"/>
        </w:rPr>
        <w:t>Solidali</w:t>
      </w:r>
      <w:proofErr w:type="spellEnd"/>
      <w:r w:rsidRPr="00E15BAE">
        <w:rPr>
          <w:rStyle w:val="normaltextrun"/>
          <w:rFonts w:ascii="Arial" w:hAnsi="Arial" w:cs="Arial"/>
          <w:i/>
          <w:iCs/>
          <w:sz w:val="20"/>
          <w:szCs w:val="20"/>
          <w:lang w:val="en-US"/>
        </w:rPr>
        <w:t>,</w:t>
      </w:r>
      <w:r w:rsidRPr="00E15BAE">
        <w:rPr>
          <w:rStyle w:val="normaltextrun"/>
          <w:rFonts w:ascii="Arial" w:hAnsi="Arial" w:cs="Arial"/>
          <w:sz w:val="20"/>
          <w:szCs w:val="20"/>
          <w:lang w:val="en-US"/>
        </w:rPr>
        <w:t xml:space="preserve"> an Italian network supported by the environmental association </w:t>
      </w:r>
      <w:proofErr w:type="spellStart"/>
      <w:r w:rsidRPr="00E15BAE">
        <w:rPr>
          <w:rStyle w:val="normaltextrun"/>
          <w:rFonts w:ascii="Arial" w:hAnsi="Arial" w:cs="Arial"/>
          <w:sz w:val="20"/>
          <w:szCs w:val="20"/>
          <w:lang w:val="en-US"/>
        </w:rPr>
        <w:t>Legambiente</w:t>
      </w:r>
      <w:proofErr w:type="spellEnd"/>
      <w:r w:rsidRPr="00E15BAE">
        <w:rPr>
          <w:rStyle w:val="normaltextrun"/>
          <w:rFonts w:ascii="Arial" w:hAnsi="Arial" w:cs="Arial"/>
          <w:sz w:val="20"/>
          <w:szCs w:val="20"/>
          <w:lang w:val="en-US"/>
        </w:rPr>
        <w:t xml:space="preserve"> with the aim of mobilizing people to meet their energy needs through the establishment of fair energy communities. This case shows the potentiality of solidarity practices through which RECs may trigger deepest processes of socio-cultural and political transformation, building alternative energy systems and making impacts well beyond energy-related issues. Moreover, </w:t>
      </w:r>
      <w:r w:rsidRPr="00E15BAE">
        <w:rPr>
          <w:rStyle w:val="normaltextrun"/>
          <w:rFonts w:ascii="Arial" w:hAnsi="Arial" w:cs="Arial"/>
          <w:sz w:val="20"/>
          <w:szCs w:val="20"/>
          <w:lang w:val="en-US"/>
        </w:rPr>
        <w:lastRenderedPageBreak/>
        <w:t xml:space="preserve">the discussion will be enriched by the data collected through our ongoing Horizon 2020 project GRETA – </w:t>
      </w:r>
      <w:proofErr w:type="spellStart"/>
      <w:r w:rsidRPr="00E15BAE">
        <w:rPr>
          <w:rStyle w:val="normaltextrun"/>
          <w:rFonts w:ascii="Arial" w:hAnsi="Arial" w:cs="Arial"/>
          <w:sz w:val="20"/>
          <w:szCs w:val="20"/>
          <w:lang w:val="en-US"/>
        </w:rPr>
        <w:t>GReen</w:t>
      </w:r>
      <w:proofErr w:type="spellEnd"/>
      <w:r w:rsidRPr="00E15BAE">
        <w:rPr>
          <w:rStyle w:val="normaltextrun"/>
          <w:rFonts w:ascii="Arial" w:hAnsi="Arial" w:cs="Arial"/>
          <w:sz w:val="20"/>
          <w:szCs w:val="20"/>
          <w:lang w:val="en-US"/>
        </w:rPr>
        <w:t xml:space="preserve"> Energy Transition Actions on energy citizenship. Preliminary results of this ongoing research will be relevant to critically interrogate the narratives emerged around RECs in Italy. The adoption of a mutual aid lens is helpful in unveiling alternative visions of future societies based on the reconfiguration of present socio-ecological relations. This contribution aims to discuss the role of RECs in this process of transformation, to understand their potentials as well as their critical aspects in enabling a just socio-ecological transition, and to highlight relevant points to retain when planning for more appropriate energy policies and projects.  </w:t>
      </w:r>
      <w:r w:rsidRPr="00E15BAE">
        <w:rPr>
          <w:rStyle w:val="eop"/>
          <w:rFonts w:ascii="Arial" w:hAnsi="Arial" w:cs="Arial"/>
          <w:sz w:val="20"/>
          <w:szCs w:val="20"/>
          <w:lang w:val="en-US"/>
        </w:rPr>
        <w:t> </w:t>
      </w:r>
    </w:p>
    <w:p w14:paraId="248EA619" w14:textId="3058BEA5" w:rsidR="001877E3" w:rsidRPr="00E15BAE" w:rsidRDefault="001877E3" w:rsidP="00E15BAE">
      <w:pPr>
        <w:pStyle w:val="paragraph"/>
        <w:spacing w:before="0" w:beforeAutospacing="0" w:after="0" w:afterAutospacing="0"/>
        <w:jc w:val="both"/>
        <w:textAlignment w:val="baseline"/>
        <w:rPr>
          <w:rFonts w:ascii="Arial" w:hAnsi="Arial" w:cs="Arial"/>
          <w:sz w:val="20"/>
          <w:szCs w:val="20"/>
          <w:highlight w:val="yellow"/>
          <w:lang w:val="en-US"/>
        </w:rPr>
      </w:pPr>
    </w:p>
    <w:sectPr w:rsidR="001877E3" w:rsidRPr="00E15BAE" w:rsidSect="00372642">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oddPage"/>
      <w:pgSz w:w="8400" w:h="11900" w:code="9"/>
      <w:pgMar w:top="1418"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09ECF" w14:textId="77777777" w:rsidR="00C075B6" w:rsidRDefault="00C075B6" w:rsidP="008279F5">
      <w:pPr>
        <w:spacing w:after="0"/>
      </w:pPr>
      <w:r>
        <w:separator/>
      </w:r>
    </w:p>
  </w:endnote>
  <w:endnote w:type="continuationSeparator" w:id="0">
    <w:p w14:paraId="3F37B232" w14:textId="77777777" w:rsidR="00C075B6" w:rsidRDefault="00C075B6" w:rsidP="008279F5">
      <w:pPr>
        <w:spacing w:after="0"/>
      </w:pPr>
      <w:r>
        <w:continuationSeparator/>
      </w:r>
    </w:p>
  </w:endnote>
  <w:endnote w:type="continuationNotice" w:id="1">
    <w:p w14:paraId="05CDF03A" w14:textId="77777777" w:rsidR="00C075B6" w:rsidRDefault="00C07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1B8F" w14:textId="77777777" w:rsidR="00727F79" w:rsidRDefault="00727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4C0D6E45"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w:t>
    </w:r>
    <w:r w:rsidR="00727F79">
      <w:rPr>
        <w:rFonts w:cs="Arial"/>
        <w:b/>
        <w:bCs/>
        <w:szCs w:val="16"/>
      </w:rPr>
      <w:t>22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E534C" w14:textId="77777777" w:rsidR="00727F79" w:rsidRDefault="00727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D5C56" w14:textId="77777777" w:rsidR="00C075B6" w:rsidRDefault="00C075B6" w:rsidP="008279F5">
      <w:pPr>
        <w:spacing w:after="0"/>
      </w:pPr>
      <w:r>
        <w:separator/>
      </w:r>
    </w:p>
  </w:footnote>
  <w:footnote w:type="continuationSeparator" w:id="0">
    <w:p w14:paraId="2C924D30" w14:textId="77777777" w:rsidR="00C075B6" w:rsidRDefault="00C075B6" w:rsidP="008279F5">
      <w:pPr>
        <w:spacing w:after="0"/>
      </w:pPr>
      <w:r>
        <w:continuationSeparator/>
      </w:r>
    </w:p>
  </w:footnote>
  <w:footnote w:type="continuationNotice" w:id="1">
    <w:p w14:paraId="5D63045D" w14:textId="77777777" w:rsidR="00C075B6" w:rsidRDefault="00C075B6">
      <w:pPr>
        <w:spacing w:after="0"/>
      </w:pPr>
    </w:p>
  </w:footnote>
  <w:footnote w:id="2">
    <w:p w14:paraId="05D0EE84" w14:textId="04AC7891" w:rsidR="00C25372" w:rsidRPr="00372642" w:rsidRDefault="00C25372" w:rsidP="001877E3">
      <w:pPr>
        <w:pStyle w:val="FootnoteText"/>
        <w:contextualSpacing/>
        <w:rPr>
          <w:sz w:val="14"/>
          <w:szCs w:val="14"/>
          <w:lang w:val="en-US"/>
        </w:rPr>
      </w:pPr>
      <w:r w:rsidRPr="00372642">
        <w:rPr>
          <w:rStyle w:val="FootnoteReference"/>
          <w:sz w:val="14"/>
          <w:szCs w:val="14"/>
        </w:rPr>
        <w:footnoteRef/>
      </w:r>
      <w:r w:rsidRPr="00372642">
        <w:rPr>
          <w:sz w:val="14"/>
          <w:szCs w:val="14"/>
          <w:lang w:val="en-US"/>
        </w:rPr>
        <w:t xml:space="preserve"> </w:t>
      </w:r>
      <w:r w:rsidR="00574A7A">
        <w:rPr>
          <w:sz w:val="14"/>
          <w:szCs w:val="14"/>
          <w:lang w:val="en-US"/>
        </w:rPr>
        <w:t>University of Bologna</w:t>
      </w:r>
      <w:r w:rsidRPr="00372642">
        <w:rPr>
          <w:sz w:val="14"/>
          <w:szCs w:val="14"/>
          <w:lang w:val="en-US"/>
        </w:rPr>
        <w:t xml:space="preserve">, </w:t>
      </w:r>
      <w:r w:rsidR="00574A7A">
        <w:rPr>
          <w:sz w:val="14"/>
          <w:szCs w:val="14"/>
          <w:lang w:val="en-US"/>
        </w:rPr>
        <w:t>Department of Sociology and Business Law</w:t>
      </w:r>
      <w:r w:rsidRPr="00372642">
        <w:rPr>
          <w:sz w:val="14"/>
          <w:szCs w:val="14"/>
          <w:lang w:val="en-US"/>
        </w:rPr>
        <w:t xml:space="preserve">, </w:t>
      </w:r>
      <w:r w:rsidR="00574A7A">
        <w:rPr>
          <w:sz w:val="14"/>
          <w:szCs w:val="14"/>
          <w:lang w:val="en-US"/>
        </w:rPr>
        <w:t>beatrice.ruggieri2@unibo.it</w:t>
      </w:r>
    </w:p>
  </w:footnote>
  <w:footnote w:id="3">
    <w:p w14:paraId="3B5AF570" w14:textId="692A79A2" w:rsidR="00C25372" w:rsidRPr="00372642" w:rsidRDefault="00C25372" w:rsidP="001877E3">
      <w:pPr>
        <w:pStyle w:val="FootnoteText"/>
        <w:contextualSpacing/>
        <w:rPr>
          <w:sz w:val="14"/>
          <w:szCs w:val="14"/>
          <w:lang w:val="en-US"/>
        </w:rPr>
      </w:pPr>
      <w:r w:rsidRPr="00372642">
        <w:rPr>
          <w:rStyle w:val="FootnoteReference"/>
          <w:sz w:val="14"/>
          <w:szCs w:val="14"/>
        </w:rPr>
        <w:footnoteRef/>
      </w:r>
      <w:r w:rsidRPr="00372642">
        <w:rPr>
          <w:sz w:val="14"/>
          <w:szCs w:val="14"/>
          <w:lang w:val="en-US"/>
        </w:rPr>
        <w:t xml:space="preserve"> </w:t>
      </w:r>
      <w:r w:rsidR="00574A7A">
        <w:rPr>
          <w:sz w:val="14"/>
          <w:szCs w:val="14"/>
          <w:lang w:val="en-US"/>
        </w:rPr>
        <w:t>University of Bologna</w:t>
      </w:r>
      <w:r w:rsidRPr="00372642">
        <w:rPr>
          <w:sz w:val="14"/>
          <w:szCs w:val="14"/>
          <w:lang w:val="en-US"/>
        </w:rPr>
        <w:t xml:space="preserve">, </w:t>
      </w:r>
      <w:r w:rsidR="00574A7A">
        <w:rPr>
          <w:sz w:val="14"/>
          <w:szCs w:val="14"/>
          <w:lang w:val="en-US"/>
        </w:rPr>
        <w:t>Department of Sociology and Business Law</w:t>
      </w:r>
      <w:r w:rsidRPr="00372642">
        <w:rPr>
          <w:sz w:val="14"/>
          <w:szCs w:val="14"/>
          <w:lang w:val="en-US"/>
        </w:rPr>
        <w:t xml:space="preserve">, </w:t>
      </w:r>
      <w:r w:rsidR="00574A7A">
        <w:rPr>
          <w:sz w:val="14"/>
          <w:szCs w:val="14"/>
          <w:lang w:val="en-US"/>
        </w:rPr>
        <w:t>giada.coleandro2@unibo.it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C25D" w14:textId="77777777" w:rsidR="00727F79" w:rsidRDefault="00727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1"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5D8D2" w14:textId="77777777" w:rsidR="00727F79" w:rsidRDefault="00727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6159174">
    <w:abstractNumId w:val="2"/>
  </w:num>
  <w:num w:numId="2" w16cid:durableId="717240237">
    <w:abstractNumId w:val="19"/>
  </w:num>
  <w:num w:numId="3" w16cid:durableId="861822838">
    <w:abstractNumId w:val="13"/>
  </w:num>
  <w:num w:numId="4" w16cid:durableId="1685132676">
    <w:abstractNumId w:val="9"/>
  </w:num>
  <w:num w:numId="5" w16cid:durableId="1150167862">
    <w:abstractNumId w:val="4"/>
  </w:num>
  <w:num w:numId="6" w16cid:durableId="1185896676">
    <w:abstractNumId w:val="5"/>
  </w:num>
  <w:num w:numId="7" w16cid:durableId="825628618">
    <w:abstractNumId w:val="7"/>
  </w:num>
  <w:num w:numId="8" w16cid:durableId="455831805">
    <w:abstractNumId w:val="31"/>
  </w:num>
  <w:num w:numId="9" w16cid:durableId="168832223">
    <w:abstractNumId w:val="27"/>
  </w:num>
  <w:num w:numId="10" w16cid:durableId="1130247056">
    <w:abstractNumId w:val="21"/>
  </w:num>
  <w:num w:numId="11" w16cid:durableId="1580098049">
    <w:abstractNumId w:val="10"/>
  </w:num>
  <w:num w:numId="12" w16cid:durableId="1930313498">
    <w:abstractNumId w:val="39"/>
  </w:num>
  <w:num w:numId="13" w16cid:durableId="2042784578">
    <w:abstractNumId w:val="32"/>
  </w:num>
  <w:num w:numId="14" w16cid:durableId="1600290362">
    <w:abstractNumId w:val="23"/>
  </w:num>
  <w:num w:numId="15" w16cid:durableId="1443840467">
    <w:abstractNumId w:val="40"/>
  </w:num>
  <w:num w:numId="16" w16cid:durableId="1026174866">
    <w:abstractNumId w:val="33"/>
  </w:num>
  <w:num w:numId="17" w16cid:durableId="1946229538">
    <w:abstractNumId w:val="29"/>
  </w:num>
  <w:num w:numId="18" w16cid:durableId="1546025434">
    <w:abstractNumId w:val="17"/>
  </w:num>
  <w:num w:numId="19" w16cid:durableId="1784348917">
    <w:abstractNumId w:val="25"/>
  </w:num>
  <w:num w:numId="20" w16cid:durableId="1775704049">
    <w:abstractNumId w:val="16"/>
  </w:num>
  <w:num w:numId="21" w16cid:durableId="299463072">
    <w:abstractNumId w:val="3"/>
  </w:num>
  <w:num w:numId="22" w16cid:durableId="261571665">
    <w:abstractNumId w:val="35"/>
  </w:num>
  <w:num w:numId="23" w16cid:durableId="1888224020">
    <w:abstractNumId w:val="6"/>
  </w:num>
  <w:num w:numId="24" w16cid:durableId="1161654854">
    <w:abstractNumId w:val="36"/>
  </w:num>
  <w:num w:numId="25" w16cid:durableId="486634292">
    <w:abstractNumId w:val="38"/>
  </w:num>
  <w:num w:numId="26" w16cid:durableId="782916848">
    <w:abstractNumId w:val="11"/>
  </w:num>
  <w:num w:numId="27" w16cid:durableId="1211651667">
    <w:abstractNumId w:val="8"/>
  </w:num>
  <w:num w:numId="28" w16cid:durableId="1682274918">
    <w:abstractNumId w:val="28"/>
  </w:num>
  <w:num w:numId="29" w16cid:durableId="1129205361">
    <w:abstractNumId w:val="26"/>
  </w:num>
  <w:num w:numId="30" w16cid:durableId="1668904941">
    <w:abstractNumId w:val="37"/>
  </w:num>
  <w:num w:numId="31" w16cid:durableId="690569628">
    <w:abstractNumId w:val="15"/>
  </w:num>
  <w:num w:numId="32" w16cid:durableId="1625843392">
    <w:abstractNumId w:val="1"/>
  </w:num>
  <w:num w:numId="33" w16cid:durableId="2145929297">
    <w:abstractNumId w:val="34"/>
  </w:num>
  <w:num w:numId="34" w16cid:durableId="1137456156">
    <w:abstractNumId w:val="20"/>
  </w:num>
  <w:num w:numId="35" w16cid:durableId="2096054399">
    <w:abstractNumId w:val="30"/>
  </w:num>
  <w:num w:numId="36" w16cid:durableId="2120759260">
    <w:abstractNumId w:val="14"/>
  </w:num>
  <w:num w:numId="37" w16cid:durableId="1952200323">
    <w:abstractNumId w:val="0"/>
  </w:num>
  <w:num w:numId="38" w16cid:durableId="1783108299">
    <w:abstractNumId w:val="24"/>
  </w:num>
  <w:num w:numId="39" w16cid:durableId="802700376">
    <w:abstractNumId w:val="22"/>
  </w:num>
  <w:num w:numId="40" w16cid:durableId="1707681004">
    <w:abstractNumId w:val="18"/>
  </w:num>
  <w:num w:numId="41" w16cid:durableId="1342781206">
    <w:abstractNumId w:val="24"/>
  </w:num>
  <w:num w:numId="42" w16cid:durableId="1378579947">
    <w:abstractNumId w:val="24"/>
  </w:num>
  <w:num w:numId="43" w16cid:durableId="173041873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1BF2"/>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141BD"/>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4B02"/>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2642"/>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1A1F"/>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4A7A"/>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4C68"/>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27F79"/>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35699"/>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075B6"/>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81415"/>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229F"/>
    <w:rsid w:val="00DD58A0"/>
    <w:rsid w:val="00DD6296"/>
    <w:rsid w:val="00DE34EB"/>
    <w:rsid w:val="00DE5AC8"/>
    <w:rsid w:val="00DF0305"/>
    <w:rsid w:val="00DF77A8"/>
    <w:rsid w:val="00E00F84"/>
    <w:rsid w:val="00E02E47"/>
    <w:rsid w:val="00E04050"/>
    <w:rsid w:val="00E042F6"/>
    <w:rsid w:val="00E101B1"/>
    <w:rsid w:val="00E1304E"/>
    <w:rsid w:val="00E15BA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EF53A1"/>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 w:type="paragraph" w:customStyle="1" w:styleId="paragraph">
    <w:name w:val="paragraph"/>
    <w:basedOn w:val="Normal"/>
    <w:rsid w:val="00372642"/>
    <w:pPr>
      <w:spacing w:before="100" w:beforeAutospacing="1" w:after="100" w:afterAutospacing="1"/>
      <w:jc w:val="left"/>
    </w:pPr>
    <w:rPr>
      <w:rFonts w:ascii="Times New Roman" w:eastAsia="Times New Roman" w:hAnsi="Times New Roman"/>
      <w:sz w:val="24"/>
      <w:szCs w:val="24"/>
      <w:lang w:val="it-IT" w:eastAsia="it-IT"/>
    </w:rPr>
  </w:style>
  <w:style w:type="character" w:customStyle="1" w:styleId="normaltextrun">
    <w:name w:val="normaltextrun"/>
    <w:basedOn w:val="DefaultParagraphFont"/>
    <w:rsid w:val="00372642"/>
  </w:style>
  <w:style w:type="character" w:customStyle="1" w:styleId="eop">
    <w:name w:val="eop"/>
    <w:basedOn w:val="DefaultParagraphFont"/>
    <w:rsid w:val="00372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63651827">
      <w:bodyDiv w:val="1"/>
      <w:marLeft w:val="0"/>
      <w:marRight w:val="0"/>
      <w:marTop w:val="0"/>
      <w:marBottom w:val="0"/>
      <w:divBdr>
        <w:top w:val="none" w:sz="0" w:space="0" w:color="auto"/>
        <w:left w:val="none" w:sz="0" w:space="0" w:color="auto"/>
        <w:bottom w:val="none" w:sz="0" w:space="0" w:color="auto"/>
        <w:right w:val="none" w:sz="0" w:space="0" w:color="auto"/>
      </w:divBdr>
      <w:divsChild>
        <w:div w:id="856194265">
          <w:marLeft w:val="0"/>
          <w:marRight w:val="0"/>
          <w:marTop w:val="0"/>
          <w:marBottom w:val="0"/>
          <w:divBdr>
            <w:top w:val="none" w:sz="0" w:space="0" w:color="auto"/>
            <w:left w:val="none" w:sz="0" w:space="0" w:color="auto"/>
            <w:bottom w:val="none" w:sz="0" w:space="0" w:color="auto"/>
            <w:right w:val="none" w:sz="0" w:space="0" w:color="auto"/>
          </w:divBdr>
        </w:div>
        <w:div w:id="922682066">
          <w:marLeft w:val="0"/>
          <w:marRight w:val="0"/>
          <w:marTop w:val="0"/>
          <w:marBottom w:val="0"/>
          <w:divBdr>
            <w:top w:val="none" w:sz="0" w:space="0" w:color="auto"/>
            <w:left w:val="none" w:sz="0" w:space="0" w:color="auto"/>
            <w:bottom w:val="none" w:sz="0" w:space="0" w:color="auto"/>
            <w:right w:val="none" w:sz="0" w:space="0" w:color="auto"/>
          </w:divBdr>
        </w:div>
      </w:divsChild>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07963982">
      <w:bodyDiv w:val="1"/>
      <w:marLeft w:val="0"/>
      <w:marRight w:val="0"/>
      <w:marTop w:val="0"/>
      <w:marBottom w:val="0"/>
      <w:divBdr>
        <w:top w:val="none" w:sz="0" w:space="0" w:color="auto"/>
        <w:left w:val="none" w:sz="0" w:space="0" w:color="auto"/>
        <w:bottom w:val="none" w:sz="0" w:space="0" w:color="auto"/>
        <w:right w:val="none" w:sz="0" w:space="0" w:color="auto"/>
      </w:divBdr>
      <w:divsChild>
        <w:div w:id="1506280935">
          <w:marLeft w:val="0"/>
          <w:marRight w:val="0"/>
          <w:marTop w:val="0"/>
          <w:marBottom w:val="0"/>
          <w:divBdr>
            <w:top w:val="none" w:sz="0" w:space="0" w:color="auto"/>
            <w:left w:val="none" w:sz="0" w:space="0" w:color="auto"/>
            <w:bottom w:val="none" w:sz="0" w:space="0" w:color="auto"/>
            <w:right w:val="none" w:sz="0" w:space="0" w:color="auto"/>
          </w:divBdr>
        </w:div>
        <w:div w:id="1942370470">
          <w:marLeft w:val="0"/>
          <w:marRight w:val="0"/>
          <w:marTop w:val="0"/>
          <w:marBottom w:val="0"/>
          <w:divBdr>
            <w:top w:val="none" w:sz="0" w:space="0" w:color="auto"/>
            <w:left w:val="none" w:sz="0" w:space="0" w:color="auto"/>
            <w:bottom w:val="none" w:sz="0" w:space="0" w:color="auto"/>
            <w:right w:val="none" w:sz="0" w:space="0" w:color="auto"/>
          </w:divBdr>
        </w:div>
      </w:divsChild>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4.xml><?xml version="1.0" encoding="utf-8"?>
<ds:datastoreItem xmlns:ds="http://schemas.openxmlformats.org/officeDocument/2006/customXml" ds:itemID="{0F2B7FDE-3F12-47D7-91AD-4B738C393900}"/>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2779</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3213</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7</cp:revision>
  <cp:lastPrinted>2017-03-13T18:23:00Z</cp:lastPrinted>
  <dcterms:created xsi:type="dcterms:W3CDTF">2022-02-28T16:11:00Z</dcterms:created>
  <dcterms:modified xsi:type="dcterms:W3CDTF">2022-07-06T11:07:00Z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